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4AFDB513" w:rsidR="00543611" w:rsidRDefault="00666849" w:rsidP="006F65B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4CA3563C" w14:textId="7826D3E7" w:rsidR="00543611" w:rsidRDefault="00A27A92" w:rsidP="005A7444">
      <w:pPr>
        <w:jc w:val="center"/>
        <w:rPr>
          <w:b/>
          <w:bCs/>
          <w:sz w:val="24"/>
          <w:szCs w:val="24"/>
        </w:rPr>
      </w:pPr>
      <w:r w:rsidRPr="00A27A92">
        <w:rPr>
          <w:b/>
          <w:bCs/>
          <w:sz w:val="28"/>
          <w:szCs w:val="28"/>
        </w:rPr>
        <w:t>Index odpovědného úvěrování</w:t>
      </w:r>
      <w:r w:rsidR="00694939">
        <w:rPr>
          <w:b/>
          <w:bCs/>
          <w:sz w:val="28"/>
          <w:szCs w:val="28"/>
        </w:rPr>
        <w:t xml:space="preserve"> Člověka v</w:t>
      </w:r>
      <w:r w:rsidR="00C14EAC">
        <w:rPr>
          <w:b/>
          <w:bCs/>
          <w:sz w:val="28"/>
          <w:szCs w:val="28"/>
        </w:rPr>
        <w:t> </w:t>
      </w:r>
      <w:r w:rsidR="00694939">
        <w:rPr>
          <w:b/>
          <w:bCs/>
          <w:sz w:val="28"/>
          <w:szCs w:val="28"/>
        </w:rPr>
        <w:t>tísni</w:t>
      </w:r>
      <w:r w:rsidR="00C14EAC">
        <w:rPr>
          <w:b/>
          <w:bCs/>
          <w:sz w:val="28"/>
          <w:szCs w:val="28"/>
        </w:rPr>
        <w:t xml:space="preserve">: </w:t>
      </w:r>
      <w:r w:rsidRPr="00A27A92">
        <w:rPr>
          <w:b/>
          <w:bCs/>
          <w:sz w:val="28"/>
          <w:szCs w:val="28"/>
        </w:rPr>
        <w:t xml:space="preserve">Home Credit </w:t>
      </w:r>
      <w:r w:rsidR="00694939">
        <w:rPr>
          <w:b/>
          <w:bCs/>
          <w:sz w:val="28"/>
          <w:szCs w:val="28"/>
        </w:rPr>
        <w:t xml:space="preserve">je </w:t>
      </w:r>
      <w:r w:rsidR="008E0D99">
        <w:rPr>
          <w:b/>
          <w:bCs/>
          <w:sz w:val="28"/>
          <w:szCs w:val="28"/>
        </w:rPr>
        <w:t xml:space="preserve">opět v čele nebankovních společností </w:t>
      </w:r>
      <w:r w:rsidR="00694939">
        <w:rPr>
          <w:b/>
          <w:bCs/>
          <w:sz w:val="28"/>
          <w:szCs w:val="28"/>
        </w:rPr>
        <w:t>a nezadá si ani s bankami</w:t>
      </w:r>
    </w:p>
    <w:p w14:paraId="7DFA20CF" w14:textId="1C75DA1F" w:rsidR="00A26205" w:rsidRDefault="003515C7" w:rsidP="00A27A92">
      <w:pPr>
        <w:jc w:val="both"/>
        <w:rPr>
          <w:b/>
          <w:bCs/>
        </w:rPr>
      </w:pPr>
      <w:r>
        <w:rPr>
          <w:b/>
          <w:bCs/>
        </w:rPr>
        <w:t>Brno</w:t>
      </w:r>
      <w:r w:rsidR="00780001">
        <w:rPr>
          <w:b/>
          <w:bCs/>
        </w:rPr>
        <w:t xml:space="preserve">, 17. 6. – </w:t>
      </w:r>
      <w:r w:rsidR="00A27A92" w:rsidRPr="00A8133F">
        <w:rPr>
          <w:b/>
          <w:bCs/>
        </w:rPr>
        <w:t xml:space="preserve">Nezisková organizace Člověk v tísni zveřejnila </w:t>
      </w:r>
      <w:r w:rsidR="00A27A92">
        <w:rPr>
          <w:b/>
          <w:bCs/>
        </w:rPr>
        <w:t xml:space="preserve">letošní první </w:t>
      </w:r>
      <w:r w:rsidR="00A27A92" w:rsidRPr="00A8133F">
        <w:rPr>
          <w:b/>
          <w:bCs/>
        </w:rPr>
        <w:t xml:space="preserve">Index odpovědného úvěrování, který </w:t>
      </w:r>
      <w:r w:rsidR="00AA6D04">
        <w:rPr>
          <w:b/>
          <w:bCs/>
        </w:rPr>
        <w:t xml:space="preserve">na jaře </w:t>
      </w:r>
      <w:r w:rsidR="00A27A92" w:rsidRPr="00A8133F">
        <w:rPr>
          <w:b/>
          <w:bCs/>
        </w:rPr>
        <w:t xml:space="preserve">pravidelně </w:t>
      </w:r>
      <w:r w:rsidR="00AA6D04">
        <w:rPr>
          <w:b/>
          <w:bCs/>
        </w:rPr>
        <w:t>porovnává</w:t>
      </w:r>
      <w:r w:rsidR="00AA6D04" w:rsidRPr="00A8133F">
        <w:rPr>
          <w:b/>
          <w:bCs/>
        </w:rPr>
        <w:t xml:space="preserve"> </w:t>
      </w:r>
      <w:r w:rsidR="00A27A92" w:rsidRPr="00A8133F">
        <w:rPr>
          <w:b/>
          <w:bCs/>
        </w:rPr>
        <w:t xml:space="preserve">nezajištěné krátkodobé úvěrové produkty na českém trhu. Letos bylo hodnoceno 48 produktů od 37 poskytovatelů. Home Credit </w:t>
      </w:r>
      <w:r w:rsidR="008E0D99">
        <w:rPr>
          <w:b/>
          <w:bCs/>
        </w:rPr>
        <w:t>je opět nejlépe hodnocenou nebankovní společností</w:t>
      </w:r>
      <w:r w:rsidR="00A27A92" w:rsidRPr="00A8133F">
        <w:rPr>
          <w:b/>
          <w:bCs/>
        </w:rPr>
        <w:t xml:space="preserve"> – získal </w:t>
      </w:r>
      <w:r w:rsidR="00694939">
        <w:rPr>
          <w:b/>
          <w:bCs/>
        </w:rPr>
        <w:t>89</w:t>
      </w:r>
      <w:r w:rsidR="00A27A92" w:rsidRPr="00A8133F">
        <w:rPr>
          <w:b/>
          <w:bCs/>
        </w:rPr>
        <w:t xml:space="preserve"> </w:t>
      </w:r>
      <w:r w:rsidR="00694939">
        <w:rPr>
          <w:b/>
          <w:bCs/>
        </w:rPr>
        <w:t>bodů</w:t>
      </w:r>
      <w:r w:rsidR="00A27A92" w:rsidRPr="00A8133F">
        <w:rPr>
          <w:b/>
          <w:bCs/>
        </w:rPr>
        <w:t xml:space="preserve"> z celkových 95</w:t>
      </w:r>
      <w:r w:rsidR="00A27A92">
        <w:rPr>
          <w:b/>
          <w:bCs/>
        </w:rPr>
        <w:t xml:space="preserve">, </w:t>
      </w:r>
      <w:r w:rsidR="00C14EAC">
        <w:rPr>
          <w:b/>
          <w:bCs/>
        </w:rPr>
        <w:t xml:space="preserve">čímž se </w:t>
      </w:r>
      <w:r w:rsidR="008E0D99">
        <w:rPr>
          <w:b/>
          <w:bCs/>
        </w:rPr>
        <w:t>umístil na pátém místě</w:t>
      </w:r>
      <w:r w:rsidR="00C14EAC">
        <w:rPr>
          <w:b/>
          <w:bCs/>
        </w:rPr>
        <w:t xml:space="preserve"> a</w:t>
      </w:r>
      <w:r w:rsidR="008E0D99">
        <w:rPr>
          <w:b/>
          <w:bCs/>
        </w:rPr>
        <w:t xml:space="preserve"> předběhl i mnohé banky</w:t>
      </w:r>
      <w:r w:rsidR="00C14EAC">
        <w:rPr>
          <w:b/>
          <w:bCs/>
        </w:rPr>
        <w:t>. P</w:t>
      </w:r>
      <w:r w:rsidR="00A27A92" w:rsidRPr="00A8133F">
        <w:rPr>
          <w:b/>
          <w:bCs/>
        </w:rPr>
        <w:t>otvrdil tak svou dlouhodobou pozici mezi lídry v oblasti férového úvěrování.</w:t>
      </w:r>
    </w:p>
    <w:p w14:paraId="7C0C02F7" w14:textId="4A58EB8B" w:rsidR="00D8357A" w:rsidRDefault="00A27A92" w:rsidP="00A27A92">
      <w:pPr>
        <w:jc w:val="both"/>
      </w:pPr>
      <w:r w:rsidRPr="00C00FAE">
        <w:t>Mezi silné stránky Home Creditu letos podle Člověka v tísni patří zejména cenová dostupnost půjček a vstřícný přístup k lidem, kteří se ocitnou v prodlení. Index pozitivně hodnotí nižší náklady na prodloužení půjčky a skutečnost, že klienti nejsou zatíženi nadměrnými sankcemi. Vyzdvihována je také transparentnost – Home Credit zveřejňuje na webu vzory úvěrových smluv i přehledné informace pro klienty v obtížné finanční situaci.</w:t>
      </w:r>
      <w:r w:rsidR="00D8357A">
        <w:t xml:space="preserve"> S těmito pozitivy je podle Indexu odpovědného úvěrování spojována i </w:t>
      </w:r>
      <w:r w:rsidR="00D8357A" w:rsidRPr="00D8357A">
        <w:t>rychlá půjčka Kamali od Home Creditu</w:t>
      </w:r>
      <w:r w:rsidR="00D8357A">
        <w:t xml:space="preserve">, která </w:t>
      </w:r>
      <w:r w:rsidR="00B93768">
        <w:t>si vysloužila</w:t>
      </w:r>
      <w:r w:rsidR="00D8357A">
        <w:t xml:space="preserve"> nadprůměrné </w:t>
      </w:r>
      <w:r w:rsidR="00694939">
        <w:t>skóre</w:t>
      </w:r>
      <w:r w:rsidR="00D8357A">
        <w:t xml:space="preserve"> 84. </w:t>
      </w:r>
    </w:p>
    <w:p w14:paraId="7800AE25" w14:textId="19C42A00" w:rsidR="00A27A92" w:rsidRPr="0066642B" w:rsidRDefault="00D97A77" w:rsidP="00A27A92">
      <w:pPr>
        <w:jc w:val="both"/>
        <w:rPr>
          <w:i/>
          <w:iCs/>
        </w:rPr>
      </w:pPr>
      <w:r w:rsidRPr="00C14EAC">
        <w:rPr>
          <w:noProof/>
        </w:rPr>
        <w:drawing>
          <wp:anchor distT="0" distB="0" distL="114300" distR="114300" simplePos="0" relativeHeight="251658240" behindDoc="0" locked="0" layoutInCell="1" allowOverlap="1" wp14:anchorId="56878A10" wp14:editId="7C0CA7F5">
            <wp:simplePos x="0" y="0"/>
            <wp:positionH relativeFrom="margin">
              <wp:align>left</wp:align>
            </wp:positionH>
            <wp:positionV relativeFrom="page">
              <wp:posOffset>4189730</wp:posOffset>
            </wp:positionV>
            <wp:extent cx="3712845" cy="2408555"/>
            <wp:effectExtent l="0" t="0" r="1905" b="0"/>
            <wp:wrapSquare wrapText="bothSides"/>
            <wp:docPr id="5728520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5209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827" cy="241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7A92" w:rsidRPr="00A8133F">
        <w:rPr>
          <w:i/>
          <w:iCs/>
        </w:rPr>
        <w:t>„Těší nás, že</w:t>
      </w:r>
      <w:r w:rsidR="00A27A92">
        <w:rPr>
          <w:i/>
          <w:iCs/>
        </w:rPr>
        <w:t xml:space="preserve"> nezávislý</w:t>
      </w:r>
      <w:r w:rsidR="00A27A92" w:rsidRPr="00A8133F">
        <w:rPr>
          <w:i/>
          <w:iCs/>
        </w:rPr>
        <w:t xml:space="preserve"> Index </w:t>
      </w:r>
      <w:r w:rsidR="00A27A92">
        <w:rPr>
          <w:i/>
          <w:iCs/>
        </w:rPr>
        <w:t xml:space="preserve">odpovědného úvěrování </w:t>
      </w:r>
      <w:r w:rsidR="00A27A92" w:rsidRPr="00A8133F">
        <w:rPr>
          <w:i/>
          <w:iCs/>
        </w:rPr>
        <w:t>opět ocenil férovost našich produktů. Kromě cenové dostupnosti je pro nás zásadn</w:t>
      </w:r>
      <w:r w:rsidR="0066642B">
        <w:rPr>
          <w:i/>
          <w:iCs/>
        </w:rPr>
        <w:t xml:space="preserve">í </w:t>
      </w:r>
      <w:r w:rsidR="0066642B">
        <w:rPr>
          <w:i/>
          <w:iCs/>
        </w:rPr>
        <w:br/>
      </w:r>
      <w:r w:rsidR="00A27A92" w:rsidRPr="00A8133F">
        <w:rPr>
          <w:i/>
          <w:iCs/>
        </w:rPr>
        <w:t>i zodpovědný přístup ke klientům v potížích. Neprodlužujeme promlčecí lhůty, důsledně využíváme nižší formulářové tarify.</w:t>
      </w:r>
      <w:r w:rsidR="00AA6D04">
        <w:rPr>
          <w:i/>
          <w:iCs/>
        </w:rPr>
        <w:t xml:space="preserve"> a naše půjčky patří k těm cenově dostupným.</w:t>
      </w:r>
      <w:r w:rsidR="00A27A92" w:rsidRPr="00A8133F">
        <w:rPr>
          <w:i/>
          <w:iCs/>
        </w:rPr>
        <w:t xml:space="preserve"> Dlouhodobě se snažíme být transparentní a díky tomu jsme opět potvrdili své místo mezi nejlépe hodnocenými poskytovateli. </w:t>
      </w:r>
      <w:r w:rsidR="00AA6D04">
        <w:rPr>
          <w:i/>
          <w:iCs/>
        </w:rPr>
        <w:br/>
      </w:r>
      <w:r w:rsidR="00A27A92" w:rsidRPr="00A8133F">
        <w:rPr>
          <w:i/>
          <w:iCs/>
        </w:rPr>
        <w:t>Z takového výsledku máme radost i proto, že nám umožňuje jít příkladem a přispívat ke kultivaci trhu s nebankovními úvěry,“</w:t>
      </w:r>
      <w:r w:rsidR="00A27A92" w:rsidRPr="00A8133F">
        <w:t xml:space="preserve"> říká</w:t>
      </w:r>
      <w:r w:rsidR="00A27A92" w:rsidRPr="00A8133F">
        <w:rPr>
          <w:i/>
          <w:iCs/>
        </w:rPr>
        <w:t xml:space="preserve"> </w:t>
      </w:r>
      <w:r w:rsidR="00D8357A">
        <w:t>Luděk Jírů, generální ředitel Home Creditu</w:t>
      </w:r>
      <w:r w:rsidR="00D5243E">
        <w:t>.</w:t>
      </w:r>
    </w:p>
    <w:p w14:paraId="1BED72E3" w14:textId="33BAE2EA" w:rsidR="003E5AB2" w:rsidRPr="00D5243E" w:rsidRDefault="003E5AB2" w:rsidP="00A27A92">
      <w:pPr>
        <w:jc w:val="both"/>
      </w:pPr>
      <w:r w:rsidRPr="00B6193B">
        <w:t>Autoři Indexu porovnávali modelový úvěr ve výši 20 000 Kč na jeden měsíc s následným prodloužením nebo opakovaným čerpáním po dobu dalších tří měsíců. Nákladová část vycházela z platné smluvní dokumentace a počítala s prodlením, zesplatněním, žalobou i následným doplacením.</w:t>
      </w:r>
    </w:p>
    <w:p w14:paraId="3A40E2C2" w14:textId="239FE860" w:rsidR="00A27A92" w:rsidRDefault="00A27A92" w:rsidP="00A27A92">
      <w:pPr>
        <w:jc w:val="both"/>
      </w:pPr>
      <w:r w:rsidRPr="00B6193B">
        <w:t xml:space="preserve">Stejně jako v předchozích letech se výrazný důraz kladl na přehlednost informací na webu. U revolvingových produktů, které jsou nákladově náročnější, hodnotili autoři možnost modelovat splátky nebo pracovat s dynamickým reprezentativním případem. </w:t>
      </w:r>
    </w:p>
    <w:p w14:paraId="259783EC" w14:textId="5E7D61EC" w:rsidR="002310FC" w:rsidRDefault="00A27A92" w:rsidP="19EA21F9">
      <w:pPr>
        <w:jc w:val="both"/>
        <w:rPr>
          <w:i/>
          <w:iCs/>
        </w:rPr>
      </w:pPr>
      <w:r w:rsidRPr="00B6193B">
        <w:rPr>
          <w:i/>
          <w:iCs/>
        </w:rPr>
        <w:t>„</w:t>
      </w:r>
      <w:r>
        <w:rPr>
          <w:i/>
          <w:iCs/>
        </w:rPr>
        <w:t xml:space="preserve">Letošní </w:t>
      </w:r>
      <w:r w:rsidRPr="00B6193B">
        <w:rPr>
          <w:i/>
          <w:iCs/>
        </w:rPr>
        <w:t>Index</w:t>
      </w:r>
      <w:r>
        <w:rPr>
          <w:i/>
          <w:iCs/>
        </w:rPr>
        <w:t xml:space="preserve"> odpovědného úvěrování</w:t>
      </w:r>
      <w:r w:rsidRPr="00B6193B">
        <w:rPr>
          <w:i/>
          <w:iCs/>
        </w:rPr>
        <w:t xml:space="preserve"> ukazuje, že stále více společností volí při vymáhání pohledávek rozumnější </w:t>
      </w:r>
      <w:r w:rsidR="00AA6D04">
        <w:rPr>
          <w:i/>
          <w:iCs/>
        </w:rPr>
        <w:br/>
      </w:r>
      <w:r w:rsidRPr="00B6193B">
        <w:rPr>
          <w:i/>
          <w:iCs/>
        </w:rPr>
        <w:t xml:space="preserve">a ohleduplnější přístup. Jsem rád, že Home Credit v tomto směru patří dlouhodobě k těm, kdo jdou příkladem. </w:t>
      </w:r>
      <w:r w:rsidR="00AA6D04">
        <w:rPr>
          <w:i/>
          <w:iCs/>
        </w:rPr>
        <w:t xml:space="preserve">Našeho velmi dobrého </w:t>
      </w:r>
      <w:r w:rsidRPr="00B6193B">
        <w:rPr>
          <w:i/>
          <w:iCs/>
        </w:rPr>
        <w:t xml:space="preserve">hodnocení </w:t>
      </w:r>
      <w:r w:rsidR="00AA6D04">
        <w:rPr>
          <w:i/>
          <w:iCs/>
        </w:rPr>
        <w:t xml:space="preserve">v Indexu </w:t>
      </w:r>
      <w:r>
        <w:rPr>
          <w:i/>
          <w:iCs/>
        </w:rPr>
        <w:t>si vážíme</w:t>
      </w:r>
      <w:r w:rsidRPr="00B6193B">
        <w:rPr>
          <w:i/>
          <w:iCs/>
        </w:rPr>
        <w:t xml:space="preserve">, protože </w:t>
      </w:r>
      <w:r>
        <w:rPr>
          <w:i/>
          <w:iCs/>
        </w:rPr>
        <w:t>je důkazem</w:t>
      </w:r>
      <w:r w:rsidRPr="00B6193B">
        <w:rPr>
          <w:i/>
          <w:iCs/>
        </w:rPr>
        <w:t xml:space="preserve">, že férovost vůči klientům </w:t>
      </w:r>
      <w:r w:rsidR="00AA6D04">
        <w:rPr>
          <w:i/>
          <w:iCs/>
        </w:rPr>
        <w:t xml:space="preserve">a transparentnost </w:t>
      </w:r>
      <w:r w:rsidRPr="00B6193B">
        <w:rPr>
          <w:i/>
          <w:iCs/>
        </w:rPr>
        <w:t xml:space="preserve">má smysl,“ </w:t>
      </w:r>
      <w:r w:rsidR="00FE678C">
        <w:t>dodává</w:t>
      </w:r>
      <w:r w:rsidR="00FE678C" w:rsidRPr="002310FC">
        <w:t xml:space="preserve"> </w:t>
      </w:r>
      <w:r w:rsidRPr="002310FC">
        <w:t>Miroslav Zborovský, ombudsman klientů Home Creditu.</w:t>
      </w:r>
      <w:r w:rsidRPr="00B6193B">
        <w:rPr>
          <w:i/>
          <w:iCs/>
        </w:rPr>
        <w:t xml:space="preserve"> </w:t>
      </w:r>
    </w:p>
    <w:p w14:paraId="5049E863" w14:textId="09083FAF" w:rsidR="002310FC" w:rsidRDefault="002310FC" w:rsidP="19EA21F9">
      <w:pPr>
        <w:jc w:val="both"/>
        <w:rPr>
          <w:i/>
          <w:iCs/>
        </w:rPr>
      </w:pPr>
      <w:r>
        <w:rPr>
          <w:i/>
          <w:iCs/>
        </w:rPr>
        <w:t xml:space="preserve">Kompletní </w:t>
      </w:r>
      <w:r w:rsidR="004C591D">
        <w:rPr>
          <w:i/>
          <w:iCs/>
        </w:rPr>
        <w:t xml:space="preserve">výsledky </w:t>
      </w:r>
      <w:r>
        <w:rPr>
          <w:i/>
          <w:iCs/>
        </w:rPr>
        <w:t xml:space="preserve">Indexu odpovědného úvěrování </w:t>
      </w:r>
      <w:r w:rsidR="004C591D">
        <w:rPr>
          <w:i/>
          <w:iCs/>
        </w:rPr>
        <w:t>jsou</w:t>
      </w:r>
      <w:r>
        <w:rPr>
          <w:i/>
          <w:iCs/>
        </w:rPr>
        <w:t xml:space="preserve"> dostupn</w:t>
      </w:r>
      <w:r w:rsidR="004C591D">
        <w:rPr>
          <w:i/>
          <w:iCs/>
        </w:rPr>
        <w:t>é</w:t>
      </w:r>
      <w:r>
        <w:rPr>
          <w:i/>
          <w:iCs/>
        </w:rPr>
        <w:t xml:space="preserve"> </w:t>
      </w:r>
      <w:hyperlink r:id="rId12" w:history="1">
        <w:r w:rsidR="004C591D" w:rsidRPr="004C591D">
          <w:rPr>
            <w:rStyle w:val="Hypertextovodkaz"/>
            <w:i/>
            <w:iCs/>
          </w:rPr>
          <w:t>zde</w:t>
        </w:r>
      </w:hyperlink>
      <w:r w:rsidR="004C591D">
        <w:rPr>
          <w:i/>
          <w:iCs/>
        </w:rPr>
        <w:t xml:space="preserve">. </w:t>
      </w:r>
    </w:p>
    <w:p w14:paraId="0B2C9C3A" w14:textId="549791B0" w:rsidR="008118AD" w:rsidRPr="008118AD" w:rsidRDefault="00857320" w:rsidP="001E0321">
      <w:pPr>
        <w:rPr>
          <w:rFonts w:cstheme="minorHAnsi"/>
        </w:rPr>
      </w:pPr>
      <w:r w:rsidRPr="008118AD">
        <w:rPr>
          <w:rFonts w:cstheme="minorHAnsi"/>
        </w:rPr>
        <w:t>Kateřina Dobešová</w:t>
      </w:r>
      <w:r w:rsidRPr="008118AD">
        <w:rPr>
          <w:rFonts w:cstheme="minorHAnsi"/>
        </w:rPr>
        <w:br/>
        <w:t>Tisková mluvčí Home Credit ČR a SR</w:t>
      </w:r>
      <w:r w:rsidRPr="008118AD">
        <w:rPr>
          <w:rFonts w:cstheme="minorHAnsi"/>
        </w:rPr>
        <w:br/>
        <w:t xml:space="preserve">Tel.: </w:t>
      </w:r>
      <w:hyperlink r:id="rId13" w:history="1">
        <w:r w:rsidRPr="008118AD">
          <w:rPr>
            <w:rStyle w:val="Hypertextovodkaz"/>
            <w:rFonts w:cstheme="minorHAnsi"/>
          </w:rPr>
          <w:t>+ 420 736 473 813</w:t>
        </w:r>
        <w:r w:rsidRPr="008118AD">
          <w:rPr>
            <w:rStyle w:val="Hypertextovodkaz"/>
            <w:rFonts w:cstheme="minorHAnsi"/>
          </w:rPr>
          <w:br/>
        </w:r>
      </w:hyperlink>
      <w:r w:rsidRPr="008118AD">
        <w:rPr>
          <w:rFonts w:cstheme="minorHAnsi"/>
        </w:rPr>
        <w:t xml:space="preserve">E-mail: </w:t>
      </w:r>
      <w:hyperlink r:id="rId14" w:history="1">
        <w:r w:rsidRPr="008118AD">
          <w:rPr>
            <w:rStyle w:val="Hypertextovodkaz"/>
            <w:rFonts w:cstheme="minorHAnsi"/>
          </w:rPr>
          <w:t>katerina.dobesova@homecredit.cz</w:t>
        </w:r>
      </w:hyperlink>
      <w:r w:rsidRPr="008118AD">
        <w:rPr>
          <w:rFonts w:cstheme="minorHAnsi"/>
          <w:b/>
          <w:bCs/>
        </w:rPr>
        <w:br/>
      </w:r>
    </w:p>
    <w:p w14:paraId="60A197B7" w14:textId="77777777" w:rsidR="00D8357A" w:rsidRPr="00D8357A" w:rsidRDefault="00D8357A" w:rsidP="00D8357A">
      <w:pPr>
        <w:rPr>
          <w:rFonts w:cstheme="minorHAnsi"/>
        </w:rPr>
      </w:pPr>
      <w:r w:rsidRPr="00D8357A">
        <w:rPr>
          <w:rFonts w:cstheme="minorHAnsi"/>
          <w:b/>
          <w:bCs/>
        </w:rPr>
        <w:t>Poznámka pro editory:</w:t>
      </w:r>
      <w:r w:rsidRPr="00D8357A">
        <w:rPr>
          <w:rFonts w:cstheme="minorHAnsi"/>
        </w:rPr>
        <w:t> </w:t>
      </w:r>
      <w:r w:rsidRPr="00D8357A">
        <w:rPr>
          <w:rFonts w:cstheme="minorHAnsi"/>
        </w:rPr>
        <w:br/>
        <w:t> </w:t>
      </w:r>
      <w:r w:rsidRPr="00D8357A">
        <w:rPr>
          <w:rFonts w:cstheme="minorHAnsi"/>
        </w:rPr>
        <w:br/>
      </w:r>
      <w:r w:rsidRPr="00D8357A">
        <w:rPr>
          <w:rFonts w:cstheme="minorHAnsi"/>
          <w:b/>
          <w:bCs/>
        </w:rPr>
        <w:t>Společnost Home Credit a.s.</w:t>
      </w:r>
      <w:r w:rsidRPr="00D8357A">
        <w:rPr>
          <w:rFonts w:cstheme="minorHAnsi"/>
        </w:rPr>
        <w:t xml:space="preserve"> 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5" w:tgtFrame="_blank" w:history="1">
        <w:r w:rsidRPr="00D8357A">
          <w:rPr>
            <w:rStyle w:val="Hypertextovodkaz"/>
            <w:rFonts w:cstheme="minorHAnsi"/>
          </w:rPr>
          <w:t>www.homecredit.cz</w:t>
        </w:r>
      </w:hyperlink>
      <w:r w:rsidRPr="00D8357A">
        <w:rPr>
          <w:rFonts w:cstheme="minorHAnsi"/>
        </w:rPr>
        <w:t> </w:t>
      </w:r>
    </w:p>
    <w:p w14:paraId="32462059" w14:textId="77777777" w:rsidR="00D8357A" w:rsidRPr="00D8357A" w:rsidRDefault="00D8357A" w:rsidP="00D8357A">
      <w:pPr>
        <w:rPr>
          <w:rFonts w:cstheme="minorHAnsi"/>
        </w:rPr>
      </w:pPr>
      <w:r w:rsidRPr="00D8357A">
        <w:rPr>
          <w:rFonts w:cstheme="minorHAnsi"/>
          <w:b/>
          <w:bCs/>
        </w:rPr>
        <w:t>Skupina PPF </w:t>
      </w:r>
      <w:r w:rsidRPr="00D8357A">
        <w:rPr>
          <w:rFonts w:cstheme="minorHAnsi"/>
        </w:rPr>
        <w:t>působí ve 25 zemích Evropy, Asie a Severní Ameriky. Investuje do řady oborů, jako jsou finanční služby, telekomunikace, média, e-commerce, nemovitosti, biotechnologie či dopravní strojírenství. Skupina vlastní aktiva ve výši více než 44 miliard eur a zaměstnává celosvětově 47 tisíc lidí (k 30. 6. 2024). </w:t>
      </w:r>
    </w:p>
    <w:p w14:paraId="497201DC" w14:textId="34520CBF" w:rsidR="008118AD" w:rsidRPr="008118AD" w:rsidRDefault="008118AD" w:rsidP="008118AD">
      <w:pPr>
        <w:rPr>
          <w:rFonts w:cstheme="minorHAnsi"/>
        </w:rPr>
      </w:pPr>
    </w:p>
    <w:p w14:paraId="7B6741B7" w14:textId="09B3D6BD" w:rsidR="00A03809" w:rsidRDefault="00A03809" w:rsidP="00857320"/>
    <w:p w14:paraId="20953BD8" w14:textId="77777777" w:rsidR="00822043" w:rsidRPr="00757F21" w:rsidRDefault="00822043" w:rsidP="00857320"/>
    <w:sectPr w:rsidR="00822043" w:rsidRPr="00757F21" w:rsidSect="00A03809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E0D6" w14:textId="77777777" w:rsidR="00A43B8D" w:rsidRDefault="00A43B8D" w:rsidP="00DE7D53">
      <w:pPr>
        <w:spacing w:after="0" w:line="240" w:lineRule="auto"/>
      </w:pPr>
      <w:r>
        <w:separator/>
      </w:r>
    </w:p>
  </w:endnote>
  <w:endnote w:type="continuationSeparator" w:id="0">
    <w:p w14:paraId="3980958B" w14:textId="77777777" w:rsidR="00A43B8D" w:rsidRDefault="00A43B8D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823F" w14:textId="77777777" w:rsidR="00A43B8D" w:rsidRDefault="00A43B8D" w:rsidP="00DE7D53">
      <w:pPr>
        <w:spacing w:after="0" w:line="240" w:lineRule="auto"/>
      </w:pPr>
      <w:r>
        <w:separator/>
      </w:r>
    </w:p>
  </w:footnote>
  <w:footnote w:type="continuationSeparator" w:id="0">
    <w:p w14:paraId="3897525D" w14:textId="77777777" w:rsidR="00A43B8D" w:rsidRDefault="00A43B8D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24A5"/>
    <w:rsid w:val="00013FDD"/>
    <w:rsid w:val="00016DF7"/>
    <w:rsid w:val="00020CB5"/>
    <w:rsid w:val="000258E4"/>
    <w:rsid w:val="00026E77"/>
    <w:rsid w:val="000337EF"/>
    <w:rsid w:val="00034C1D"/>
    <w:rsid w:val="00041243"/>
    <w:rsid w:val="0004388C"/>
    <w:rsid w:val="0005132D"/>
    <w:rsid w:val="00054154"/>
    <w:rsid w:val="00057F7B"/>
    <w:rsid w:val="00060DC3"/>
    <w:rsid w:val="000626A5"/>
    <w:rsid w:val="00075B39"/>
    <w:rsid w:val="000865C2"/>
    <w:rsid w:val="00092372"/>
    <w:rsid w:val="000A3588"/>
    <w:rsid w:val="000B176E"/>
    <w:rsid w:val="000B3348"/>
    <w:rsid w:val="000B7A25"/>
    <w:rsid w:val="000C22A8"/>
    <w:rsid w:val="000C38C0"/>
    <w:rsid w:val="000C4FDF"/>
    <w:rsid w:val="000C5FAB"/>
    <w:rsid w:val="000D2C21"/>
    <w:rsid w:val="000F1F4F"/>
    <w:rsid w:val="0010054A"/>
    <w:rsid w:val="00112076"/>
    <w:rsid w:val="001244B4"/>
    <w:rsid w:val="00136F1B"/>
    <w:rsid w:val="00145437"/>
    <w:rsid w:val="00147DC4"/>
    <w:rsid w:val="0015151F"/>
    <w:rsid w:val="00153322"/>
    <w:rsid w:val="001538D5"/>
    <w:rsid w:val="001556AB"/>
    <w:rsid w:val="0015764F"/>
    <w:rsid w:val="00157AF3"/>
    <w:rsid w:val="00173438"/>
    <w:rsid w:val="00190239"/>
    <w:rsid w:val="00195905"/>
    <w:rsid w:val="001B3B63"/>
    <w:rsid w:val="001C4A0B"/>
    <w:rsid w:val="001C6040"/>
    <w:rsid w:val="001D1A5E"/>
    <w:rsid w:val="001D784C"/>
    <w:rsid w:val="001E0321"/>
    <w:rsid w:val="001F1948"/>
    <w:rsid w:val="0020241D"/>
    <w:rsid w:val="002060CE"/>
    <w:rsid w:val="0021127D"/>
    <w:rsid w:val="00225500"/>
    <w:rsid w:val="00225811"/>
    <w:rsid w:val="00225A27"/>
    <w:rsid w:val="00227DDF"/>
    <w:rsid w:val="002310FC"/>
    <w:rsid w:val="0023131F"/>
    <w:rsid w:val="002324BE"/>
    <w:rsid w:val="00237B2A"/>
    <w:rsid w:val="00245A6F"/>
    <w:rsid w:val="00253A27"/>
    <w:rsid w:val="002544FA"/>
    <w:rsid w:val="002642D3"/>
    <w:rsid w:val="002724C5"/>
    <w:rsid w:val="002844EA"/>
    <w:rsid w:val="00294FDB"/>
    <w:rsid w:val="002A77E0"/>
    <w:rsid w:val="002B319F"/>
    <w:rsid w:val="002B748E"/>
    <w:rsid w:val="002B74FE"/>
    <w:rsid w:val="002C3986"/>
    <w:rsid w:val="002C6E10"/>
    <w:rsid w:val="002D4B81"/>
    <w:rsid w:val="002E51E9"/>
    <w:rsid w:val="002E5D48"/>
    <w:rsid w:val="002F51E6"/>
    <w:rsid w:val="003117BA"/>
    <w:rsid w:val="00320861"/>
    <w:rsid w:val="003313BF"/>
    <w:rsid w:val="0033307B"/>
    <w:rsid w:val="003352A0"/>
    <w:rsid w:val="00340A54"/>
    <w:rsid w:val="00342D93"/>
    <w:rsid w:val="00345842"/>
    <w:rsid w:val="003515C7"/>
    <w:rsid w:val="00351D5A"/>
    <w:rsid w:val="00365ED9"/>
    <w:rsid w:val="0036649A"/>
    <w:rsid w:val="00372FD1"/>
    <w:rsid w:val="00380828"/>
    <w:rsid w:val="00382865"/>
    <w:rsid w:val="0039201C"/>
    <w:rsid w:val="003930FB"/>
    <w:rsid w:val="003973A5"/>
    <w:rsid w:val="003B0754"/>
    <w:rsid w:val="003B094A"/>
    <w:rsid w:val="003B7805"/>
    <w:rsid w:val="003C12A7"/>
    <w:rsid w:val="003D6784"/>
    <w:rsid w:val="003E5AB2"/>
    <w:rsid w:val="00400EF4"/>
    <w:rsid w:val="00404151"/>
    <w:rsid w:val="00414354"/>
    <w:rsid w:val="00414E86"/>
    <w:rsid w:val="00422E59"/>
    <w:rsid w:val="00431AA1"/>
    <w:rsid w:val="004329AD"/>
    <w:rsid w:val="00437CC2"/>
    <w:rsid w:val="004439CE"/>
    <w:rsid w:val="0044476B"/>
    <w:rsid w:val="004566A5"/>
    <w:rsid w:val="00464F26"/>
    <w:rsid w:val="00471228"/>
    <w:rsid w:val="00474E53"/>
    <w:rsid w:val="004772A7"/>
    <w:rsid w:val="0048045E"/>
    <w:rsid w:val="004807C4"/>
    <w:rsid w:val="0048401C"/>
    <w:rsid w:val="004849A2"/>
    <w:rsid w:val="00496B61"/>
    <w:rsid w:val="004B6DDA"/>
    <w:rsid w:val="004C591D"/>
    <w:rsid w:val="004D28BF"/>
    <w:rsid w:val="004D2EA2"/>
    <w:rsid w:val="004D4964"/>
    <w:rsid w:val="004D6F1A"/>
    <w:rsid w:val="004E563F"/>
    <w:rsid w:val="004E5886"/>
    <w:rsid w:val="004E7E5B"/>
    <w:rsid w:val="004F1870"/>
    <w:rsid w:val="00516B28"/>
    <w:rsid w:val="00521B37"/>
    <w:rsid w:val="00541F01"/>
    <w:rsid w:val="00543611"/>
    <w:rsid w:val="00543E57"/>
    <w:rsid w:val="005469CC"/>
    <w:rsid w:val="00546DEB"/>
    <w:rsid w:val="0055050D"/>
    <w:rsid w:val="005534BB"/>
    <w:rsid w:val="00556BF8"/>
    <w:rsid w:val="00564AEE"/>
    <w:rsid w:val="005663A1"/>
    <w:rsid w:val="00567EAB"/>
    <w:rsid w:val="005734F3"/>
    <w:rsid w:val="005750CF"/>
    <w:rsid w:val="005925DA"/>
    <w:rsid w:val="00594705"/>
    <w:rsid w:val="005A4A96"/>
    <w:rsid w:val="005A6D20"/>
    <w:rsid w:val="005A7444"/>
    <w:rsid w:val="005B1CAC"/>
    <w:rsid w:val="005B294A"/>
    <w:rsid w:val="005B2972"/>
    <w:rsid w:val="005B38A7"/>
    <w:rsid w:val="005D4695"/>
    <w:rsid w:val="005D69FE"/>
    <w:rsid w:val="005E5941"/>
    <w:rsid w:val="00611C9C"/>
    <w:rsid w:val="00613612"/>
    <w:rsid w:val="006136A6"/>
    <w:rsid w:val="00616F14"/>
    <w:rsid w:val="006234D6"/>
    <w:rsid w:val="0063006A"/>
    <w:rsid w:val="00631D86"/>
    <w:rsid w:val="0064460E"/>
    <w:rsid w:val="006516FA"/>
    <w:rsid w:val="0065320C"/>
    <w:rsid w:val="0066642B"/>
    <w:rsid w:val="00666849"/>
    <w:rsid w:val="00666EE8"/>
    <w:rsid w:val="00670626"/>
    <w:rsid w:val="00676BCB"/>
    <w:rsid w:val="00677C64"/>
    <w:rsid w:val="00681027"/>
    <w:rsid w:val="006829FB"/>
    <w:rsid w:val="00683C50"/>
    <w:rsid w:val="0068436B"/>
    <w:rsid w:val="00690EB7"/>
    <w:rsid w:val="00694939"/>
    <w:rsid w:val="006A0182"/>
    <w:rsid w:val="006A6985"/>
    <w:rsid w:val="006A7143"/>
    <w:rsid w:val="006B6358"/>
    <w:rsid w:val="006C2E5F"/>
    <w:rsid w:val="006C3DF5"/>
    <w:rsid w:val="006D0801"/>
    <w:rsid w:val="006D2815"/>
    <w:rsid w:val="006D7DCF"/>
    <w:rsid w:val="006E001A"/>
    <w:rsid w:val="006E0DF7"/>
    <w:rsid w:val="006F12D6"/>
    <w:rsid w:val="006F5EE1"/>
    <w:rsid w:val="006F65BD"/>
    <w:rsid w:val="007013D1"/>
    <w:rsid w:val="00710DD9"/>
    <w:rsid w:val="0071296F"/>
    <w:rsid w:val="007160DA"/>
    <w:rsid w:val="00727F45"/>
    <w:rsid w:val="00733CF4"/>
    <w:rsid w:val="00742FC0"/>
    <w:rsid w:val="00745144"/>
    <w:rsid w:val="00746265"/>
    <w:rsid w:val="00757F21"/>
    <w:rsid w:val="00761600"/>
    <w:rsid w:val="00762620"/>
    <w:rsid w:val="00771A11"/>
    <w:rsid w:val="00775DD8"/>
    <w:rsid w:val="00780001"/>
    <w:rsid w:val="00785884"/>
    <w:rsid w:val="00787811"/>
    <w:rsid w:val="007903F7"/>
    <w:rsid w:val="007905DB"/>
    <w:rsid w:val="007944C2"/>
    <w:rsid w:val="007A3034"/>
    <w:rsid w:val="007B1A28"/>
    <w:rsid w:val="007B3BBA"/>
    <w:rsid w:val="007B56E0"/>
    <w:rsid w:val="007C3873"/>
    <w:rsid w:val="007D55B3"/>
    <w:rsid w:val="007E60C9"/>
    <w:rsid w:val="007F1C60"/>
    <w:rsid w:val="008118AD"/>
    <w:rsid w:val="00812C34"/>
    <w:rsid w:val="00813217"/>
    <w:rsid w:val="0081541E"/>
    <w:rsid w:val="00816F96"/>
    <w:rsid w:val="00817A9D"/>
    <w:rsid w:val="00822043"/>
    <w:rsid w:val="0083144D"/>
    <w:rsid w:val="00832C6D"/>
    <w:rsid w:val="00833544"/>
    <w:rsid w:val="0084345C"/>
    <w:rsid w:val="00851122"/>
    <w:rsid w:val="00854255"/>
    <w:rsid w:val="00854B02"/>
    <w:rsid w:val="00857320"/>
    <w:rsid w:val="0086765C"/>
    <w:rsid w:val="00870A3B"/>
    <w:rsid w:val="00881274"/>
    <w:rsid w:val="00886B2A"/>
    <w:rsid w:val="0089181D"/>
    <w:rsid w:val="00892968"/>
    <w:rsid w:val="0089558C"/>
    <w:rsid w:val="00896DE3"/>
    <w:rsid w:val="008B01C6"/>
    <w:rsid w:val="008B7732"/>
    <w:rsid w:val="008B7C91"/>
    <w:rsid w:val="008D04B2"/>
    <w:rsid w:val="008D2A31"/>
    <w:rsid w:val="008D76AC"/>
    <w:rsid w:val="008E0D99"/>
    <w:rsid w:val="008E3916"/>
    <w:rsid w:val="008F1713"/>
    <w:rsid w:val="008F5727"/>
    <w:rsid w:val="009008E7"/>
    <w:rsid w:val="00901FED"/>
    <w:rsid w:val="009118C3"/>
    <w:rsid w:val="00915B4C"/>
    <w:rsid w:val="00917F57"/>
    <w:rsid w:val="00930B43"/>
    <w:rsid w:val="00932E40"/>
    <w:rsid w:val="009422BB"/>
    <w:rsid w:val="00947764"/>
    <w:rsid w:val="00952FF5"/>
    <w:rsid w:val="00962E54"/>
    <w:rsid w:val="00963B37"/>
    <w:rsid w:val="009741D0"/>
    <w:rsid w:val="00983CFD"/>
    <w:rsid w:val="00986320"/>
    <w:rsid w:val="00986EC5"/>
    <w:rsid w:val="009906A1"/>
    <w:rsid w:val="009947E3"/>
    <w:rsid w:val="009A442B"/>
    <w:rsid w:val="009A472D"/>
    <w:rsid w:val="009A5EF7"/>
    <w:rsid w:val="009B3DF7"/>
    <w:rsid w:val="009B464C"/>
    <w:rsid w:val="009B47E7"/>
    <w:rsid w:val="009B6D65"/>
    <w:rsid w:val="009C4813"/>
    <w:rsid w:val="009D014E"/>
    <w:rsid w:val="009D229F"/>
    <w:rsid w:val="009D4F20"/>
    <w:rsid w:val="009E07AE"/>
    <w:rsid w:val="009E2803"/>
    <w:rsid w:val="009E7C2B"/>
    <w:rsid w:val="009F14A6"/>
    <w:rsid w:val="009F1796"/>
    <w:rsid w:val="009F225D"/>
    <w:rsid w:val="009F49C0"/>
    <w:rsid w:val="00A03809"/>
    <w:rsid w:val="00A06754"/>
    <w:rsid w:val="00A124A3"/>
    <w:rsid w:val="00A26205"/>
    <w:rsid w:val="00A27A92"/>
    <w:rsid w:val="00A349BF"/>
    <w:rsid w:val="00A43B8D"/>
    <w:rsid w:val="00A71865"/>
    <w:rsid w:val="00A77916"/>
    <w:rsid w:val="00A8330A"/>
    <w:rsid w:val="00A840D2"/>
    <w:rsid w:val="00A857B2"/>
    <w:rsid w:val="00A87E01"/>
    <w:rsid w:val="00A91A74"/>
    <w:rsid w:val="00A965D8"/>
    <w:rsid w:val="00AA3C26"/>
    <w:rsid w:val="00AA6D04"/>
    <w:rsid w:val="00AB4050"/>
    <w:rsid w:val="00AC441B"/>
    <w:rsid w:val="00AC6A1B"/>
    <w:rsid w:val="00AE4DEE"/>
    <w:rsid w:val="00AF05DF"/>
    <w:rsid w:val="00AF0C03"/>
    <w:rsid w:val="00B13578"/>
    <w:rsid w:val="00B170F3"/>
    <w:rsid w:val="00B25C9D"/>
    <w:rsid w:val="00B26453"/>
    <w:rsid w:val="00B306A2"/>
    <w:rsid w:val="00B319B2"/>
    <w:rsid w:val="00B3294C"/>
    <w:rsid w:val="00B375D9"/>
    <w:rsid w:val="00B4031D"/>
    <w:rsid w:val="00B53471"/>
    <w:rsid w:val="00B620D9"/>
    <w:rsid w:val="00B633AA"/>
    <w:rsid w:val="00B67638"/>
    <w:rsid w:val="00B750BC"/>
    <w:rsid w:val="00B77112"/>
    <w:rsid w:val="00B77C1C"/>
    <w:rsid w:val="00B82787"/>
    <w:rsid w:val="00B84072"/>
    <w:rsid w:val="00B932EC"/>
    <w:rsid w:val="00B93768"/>
    <w:rsid w:val="00B94024"/>
    <w:rsid w:val="00BA05E8"/>
    <w:rsid w:val="00BA103A"/>
    <w:rsid w:val="00BA2788"/>
    <w:rsid w:val="00BA282F"/>
    <w:rsid w:val="00BA659F"/>
    <w:rsid w:val="00BA6DF0"/>
    <w:rsid w:val="00BB0E8A"/>
    <w:rsid w:val="00BD5734"/>
    <w:rsid w:val="00BD7F81"/>
    <w:rsid w:val="00BE6742"/>
    <w:rsid w:val="00BF243D"/>
    <w:rsid w:val="00BF7E2B"/>
    <w:rsid w:val="00C01969"/>
    <w:rsid w:val="00C14EAC"/>
    <w:rsid w:val="00C150C8"/>
    <w:rsid w:val="00C24DE1"/>
    <w:rsid w:val="00C26B9E"/>
    <w:rsid w:val="00C32739"/>
    <w:rsid w:val="00C35815"/>
    <w:rsid w:val="00C42F7D"/>
    <w:rsid w:val="00C54685"/>
    <w:rsid w:val="00C629F0"/>
    <w:rsid w:val="00C73DD5"/>
    <w:rsid w:val="00C8139E"/>
    <w:rsid w:val="00C919EF"/>
    <w:rsid w:val="00C91EC2"/>
    <w:rsid w:val="00CB0D09"/>
    <w:rsid w:val="00CC46FC"/>
    <w:rsid w:val="00CC5193"/>
    <w:rsid w:val="00CC56FF"/>
    <w:rsid w:val="00CD3DFF"/>
    <w:rsid w:val="00CD59AB"/>
    <w:rsid w:val="00CE3174"/>
    <w:rsid w:val="00CE5323"/>
    <w:rsid w:val="00CF190D"/>
    <w:rsid w:val="00CF1DD1"/>
    <w:rsid w:val="00CF2109"/>
    <w:rsid w:val="00D028C5"/>
    <w:rsid w:val="00D21717"/>
    <w:rsid w:val="00D3119D"/>
    <w:rsid w:val="00D32392"/>
    <w:rsid w:val="00D473D4"/>
    <w:rsid w:val="00D5243E"/>
    <w:rsid w:val="00D55330"/>
    <w:rsid w:val="00D6122B"/>
    <w:rsid w:val="00D63311"/>
    <w:rsid w:val="00D770B4"/>
    <w:rsid w:val="00D8150B"/>
    <w:rsid w:val="00D83371"/>
    <w:rsid w:val="00D8357A"/>
    <w:rsid w:val="00D83A24"/>
    <w:rsid w:val="00D97A77"/>
    <w:rsid w:val="00DB092E"/>
    <w:rsid w:val="00DB2DFD"/>
    <w:rsid w:val="00DB6859"/>
    <w:rsid w:val="00DC16E3"/>
    <w:rsid w:val="00DC58D5"/>
    <w:rsid w:val="00DE2199"/>
    <w:rsid w:val="00DE7D53"/>
    <w:rsid w:val="00DF2C93"/>
    <w:rsid w:val="00E01A94"/>
    <w:rsid w:val="00E147EE"/>
    <w:rsid w:val="00E2104D"/>
    <w:rsid w:val="00E272D6"/>
    <w:rsid w:val="00E325C4"/>
    <w:rsid w:val="00E40F9A"/>
    <w:rsid w:val="00E4111B"/>
    <w:rsid w:val="00E4419D"/>
    <w:rsid w:val="00E541EA"/>
    <w:rsid w:val="00E546FF"/>
    <w:rsid w:val="00E54867"/>
    <w:rsid w:val="00E56FB9"/>
    <w:rsid w:val="00E5712C"/>
    <w:rsid w:val="00E6587E"/>
    <w:rsid w:val="00E65ACE"/>
    <w:rsid w:val="00E66B06"/>
    <w:rsid w:val="00E702BF"/>
    <w:rsid w:val="00E7040C"/>
    <w:rsid w:val="00E71696"/>
    <w:rsid w:val="00E7234F"/>
    <w:rsid w:val="00E7465C"/>
    <w:rsid w:val="00E84866"/>
    <w:rsid w:val="00E86F51"/>
    <w:rsid w:val="00EA0A96"/>
    <w:rsid w:val="00EA4D5E"/>
    <w:rsid w:val="00EA5F69"/>
    <w:rsid w:val="00EC5927"/>
    <w:rsid w:val="00EC5B43"/>
    <w:rsid w:val="00ED2E24"/>
    <w:rsid w:val="00ED376D"/>
    <w:rsid w:val="00ED4317"/>
    <w:rsid w:val="00ED6365"/>
    <w:rsid w:val="00EE1EBE"/>
    <w:rsid w:val="00EE65D5"/>
    <w:rsid w:val="00EF1ED6"/>
    <w:rsid w:val="00F207C5"/>
    <w:rsid w:val="00F26057"/>
    <w:rsid w:val="00F36AFA"/>
    <w:rsid w:val="00F40227"/>
    <w:rsid w:val="00F41E34"/>
    <w:rsid w:val="00F50C9D"/>
    <w:rsid w:val="00F5278C"/>
    <w:rsid w:val="00F5353C"/>
    <w:rsid w:val="00F537A0"/>
    <w:rsid w:val="00F642BA"/>
    <w:rsid w:val="00F65636"/>
    <w:rsid w:val="00F72F6C"/>
    <w:rsid w:val="00F748B5"/>
    <w:rsid w:val="00F7632C"/>
    <w:rsid w:val="00F84401"/>
    <w:rsid w:val="00F95512"/>
    <w:rsid w:val="00F977C4"/>
    <w:rsid w:val="00FA0539"/>
    <w:rsid w:val="00FA12C4"/>
    <w:rsid w:val="00FB2219"/>
    <w:rsid w:val="00FB5810"/>
    <w:rsid w:val="00FC078A"/>
    <w:rsid w:val="00FC4FF8"/>
    <w:rsid w:val="00FE1AAA"/>
    <w:rsid w:val="00FE678C"/>
    <w:rsid w:val="00FF05B8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4207364738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lovekvtisni.cz/za-kratkodobe-pujcky-zaplatite-i-tisice-korun-potvrzuje-novy-index-odpovedneho-uverovani-12669g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\Users\Katerina.Dobesova\AppData\Local\Microsoft\Windows\INetCache\Content.Outlook\GVP9OBKL\www.homecredit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rina.dobesova@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BF00D-E44B-4F7E-B899-E46C5079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Václav Junek</cp:lastModifiedBy>
  <cp:revision>2</cp:revision>
  <cp:lastPrinted>2025-01-28T08:08:00Z</cp:lastPrinted>
  <dcterms:created xsi:type="dcterms:W3CDTF">2025-06-17T13:16:00Z</dcterms:created>
  <dcterms:modified xsi:type="dcterms:W3CDTF">2025-06-17T13:16:00Z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